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附件1</w:t>
      </w:r>
    </w:p>
    <w:p>
      <w:pPr>
        <w:pStyle w:val="2"/>
        <w:adjustRightInd w:val="0"/>
        <w:snapToGrid w:val="0"/>
        <w:spacing w:line="5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adjustRightInd w:val="0"/>
        <w:snapToGrid w:val="0"/>
        <w:spacing w:line="5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天津市新一代人工智能科技重大专项</w:t>
      </w:r>
    </w:p>
    <w:p>
      <w:pPr>
        <w:pStyle w:val="2"/>
        <w:adjustRightInd w:val="0"/>
        <w:snapToGrid w:val="0"/>
        <w:spacing w:line="5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2019年度项目申报指南</w:t>
      </w:r>
    </w:p>
    <w:p>
      <w:pPr>
        <w:pStyle w:val="2"/>
        <w:adjustRightInd w:val="0"/>
        <w:snapToGrid w:val="0"/>
        <w:spacing w:line="5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（征求意见稿）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天津市新一代人工智能科技重大专项2019年度项目申报指南具体征集方向如下：</w:t>
      </w:r>
    </w:p>
    <w:p>
      <w:pPr>
        <w:pStyle w:val="11"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</w:t>
      </w:r>
      <w:r>
        <w:rPr>
          <w:rFonts w:ascii="黑体" w:hAnsi="黑体" w:eastAsia="黑体"/>
          <w:szCs w:val="32"/>
        </w:rPr>
        <w:t>关键共性技术</w:t>
      </w:r>
    </w:p>
    <w:p>
      <w:pPr>
        <w:pStyle w:val="11"/>
        <w:spacing w:line="560" w:lineRule="exact"/>
        <w:ind w:firstLine="643" w:firstLineChars="20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1.边缘计算芯片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支持面向探测传感、视频图像识别、生物特征识别等技术的边缘计算芯片研发，具有低功耗、低延时、高精度、安全等特点，支持国际主流通信协议，支持Android、Linux或RTOS等运行环境，支持主流神经网络模型，满足现行标准下的数据交互需求，芯片的处理器运算能力达到1.2 DMIPS/MHz以上，具备提升计算能力的硬加速器；采用低功耗架构设计，芯片运行时功耗不高于1W；芯片支持国产密码算法及国际密码算法，应通过国内权威机构的安全性检测。芯片实现量产，在不少于2个应用场景实现产业化。</w:t>
      </w:r>
    </w:p>
    <w:p>
      <w:pPr>
        <w:pStyle w:val="11"/>
        <w:spacing w:line="560" w:lineRule="exact"/>
        <w:ind w:firstLine="643" w:firstLineChars="20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2.认知计算框架</w:t>
      </w:r>
    </w:p>
    <w:p>
      <w:pPr>
        <w:pStyle w:val="11"/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kern w:val="2"/>
          <w:szCs w:val="32"/>
        </w:rPr>
        <w:t>基于人类认知机理，实现复杂时空环境下目标检测、事件与行为的感知与理解，支持具有多模态协同感知和推理决策能力的智能系统。重点突破面向语音、视觉（含图像）、文本的深度语义理解、知识持续增量的自动获取、知识演化与推理等技术，具备从数据到知识、从知识到决策的自主归纳和学习能力，采用的认知算法具有通用性。该方向鼓励产学研用联合申报，项目完成时（三年），面向音频、视频（含图像）、文本等全要素，构建一套基于知识推理的认知计算系统，完成不少于2个应用场景性能测试，实现复杂环境下基于认知机理的感知，形成亿级实体规模的多源、多学科和多数据类型的跨媒体知识图谱，产生发明专利5项（含）以上，发表该CCF推荐A类、B类会议或期刊论文10篇。</w:t>
      </w:r>
      <w:r>
        <w:rPr>
          <w:rFonts w:ascii="Times New Roman" w:hAnsi="Times New Roman"/>
          <w:szCs w:val="32"/>
        </w:rPr>
        <w:t>完成不少于2个应用场景性能测试，形成亿级实体规模的跨媒体知识图谱。</w:t>
      </w:r>
    </w:p>
    <w:p>
      <w:pPr>
        <w:pStyle w:val="11"/>
        <w:spacing w:line="560" w:lineRule="exact"/>
        <w:ind w:firstLine="643" w:firstLineChars="200"/>
        <w:rPr>
          <w:rFonts w:ascii="Times New Roman" w:hAnsi="Times New Roman"/>
          <w:b/>
          <w:szCs w:val="32"/>
        </w:rPr>
      </w:pPr>
      <w:r>
        <w:rPr>
          <w:rFonts w:hint="eastAsia" w:ascii="Times New Roman" w:hAnsi="Times New Roman"/>
          <w:b/>
          <w:szCs w:val="32"/>
        </w:rPr>
        <w:t>3</w:t>
      </w:r>
      <w:r>
        <w:rPr>
          <w:rFonts w:ascii="Times New Roman" w:hAnsi="Times New Roman"/>
          <w:b/>
          <w:szCs w:val="32"/>
        </w:rPr>
        <w:t>.智能控制算法</w:t>
      </w:r>
    </w:p>
    <w:p>
      <w:pPr>
        <w:pStyle w:val="11"/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kern w:val="2"/>
          <w:szCs w:val="32"/>
        </w:rPr>
        <w:t>开发部分可观察和奖励信号稀疏环境下，高效的强化学习控制算法和信度分配机制；支持多目标、多约束条件下自适应智能控制；支持模型对人类专家经验的高效利用；提出可针对周边环境动态变化，提供快速响应能力的多智能体强化学习控制模型；支持训练模型从虚拟环境到物理环境的高效、鲁棒迁移。该方向鼓励产学研用联合申报，项目完成时（三年），实现在自动驾驶、机器人控制、无人机控制等行业的应用测试，产生知识产权5项（含）以上，其中发明专利不少于2项，发表CCF推荐A类会议或期刊论文10篇。</w:t>
      </w:r>
      <w:r>
        <w:rPr>
          <w:rFonts w:ascii="Times New Roman" w:hAnsi="Times New Roman"/>
          <w:szCs w:val="32"/>
        </w:rPr>
        <w:t>实现在自动驾驶、机器人控制、无人机控制等行业的应用测试。</w:t>
      </w:r>
    </w:p>
    <w:p>
      <w:pPr>
        <w:pStyle w:val="11"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</w:t>
      </w:r>
      <w:r>
        <w:rPr>
          <w:rFonts w:ascii="黑体" w:hAnsi="黑体" w:eastAsia="黑体"/>
          <w:szCs w:val="32"/>
        </w:rPr>
        <w:t>应用示范</w:t>
      </w:r>
    </w:p>
    <w:p>
      <w:pPr>
        <w:pStyle w:val="11"/>
        <w:spacing w:line="560" w:lineRule="exact"/>
        <w:ind w:firstLine="643" w:firstLineChars="20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1.国产基础软硬件兼容适配应用示范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强化天津自主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可控</w:t>
      </w:r>
      <w:r>
        <w:rPr>
          <w:rFonts w:ascii="Times New Roman" w:hAnsi="Times New Roman" w:eastAsia="仿宋_GB2312" w:cs="Times New Roman"/>
          <w:sz w:val="32"/>
          <w:szCs w:val="32"/>
        </w:rPr>
        <w:t>信息系统完善的产业链条，通过整合核心关键信息技术领域创新机构、企业等，基于通用计算处理器、AI加速器、接口芯片、操作系统、耦合中间件、平台软件等，构建国产基础软硬件兼容适配平台，实现对信息化办公、互联网业务处理的安全高效应用，并通过对云化、业务流化、数字双生化等国产软硬件环境的深度集成研发，实现人工智能、新能源新材料、生物医药等重大领域数字化、网络化、智能化的典型应用示范。完成兼容适配平台的构建，并适配软件，吸引落地企业。</w:t>
      </w:r>
    </w:p>
    <w:p>
      <w:pPr>
        <w:pStyle w:val="11"/>
        <w:spacing w:line="560" w:lineRule="exact"/>
        <w:ind w:firstLine="643" w:firstLineChars="20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2.先进通信应用示范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整合我市现有先进通信产业品牌资源，面向专用通信领域，基于国产化基带芯片、射频器件、安全芯片、通信管理平台、5G网络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、量子通信</w:t>
      </w:r>
      <w:r>
        <w:rPr>
          <w:rFonts w:ascii="Times New Roman" w:hAnsi="Times New Roman" w:eastAsia="仿宋_GB2312" w:cs="Times New Roman"/>
          <w:sz w:val="32"/>
          <w:szCs w:val="32"/>
        </w:rPr>
        <w:t>等技术，应用IPv6互联网协议，开发集“多媒体集群调度、高速互联、精准定位导航、大数据实时分析、智能化运营与维护、安全高效等”于一体的先进通信系统，系统应具备数据实时监测、关键业务联动、动态监控、预报预警、设备智能在线升级等能力。在智能交通、智慧城市等方面，完成不少于两个应用示范项目，产生发明专利10项以上，其他知识产权20项以上，系统关键核心部件实现国产化，至少实现4种我市现有技术和产品的适配应用。在智能交通、智慧城市等方面完成应用示范项目。</w:t>
      </w:r>
    </w:p>
    <w:p>
      <w:pPr>
        <w:pStyle w:val="11"/>
        <w:spacing w:line="560" w:lineRule="exact"/>
        <w:ind w:firstLine="643" w:firstLineChars="200"/>
        <w:rPr>
          <w:rFonts w:ascii="Times New Roman" w:hAnsi="Times New Roman"/>
          <w:b/>
          <w:szCs w:val="32"/>
        </w:rPr>
      </w:pPr>
      <w:r>
        <w:rPr>
          <w:rFonts w:hint="eastAsia" w:ascii="Times New Roman" w:hAnsi="Times New Roman"/>
          <w:b/>
          <w:szCs w:val="32"/>
        </w:rPr>
        <w:t>3</w:t>
      </w:r>
      <w:r>
        <w:rPr>
          <w:rFonts w:ascii="Times New Roman" w:hAnsi="Times New Roman"/>
          <w:b/>
          <w:szCs w:val="32"/>
        </w:rPr>
        <w:t>.大数据应用示范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面向海量复杂数据源，通过数据实时采集、清洗、存储管理、分析挖掘及可视化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、数据安全（区块链）</w:t>
      </w:r>
      <w:r>
        <w:rPr>
          <w:rFonts w:ascii="Times New Roman" w:hAnsi="Times New Roman" w:eastAsia="仿宋_GB2312" w:cs="Times New Roman"/>
          <w:sz w:val="32"/>
          <w:szCs w:val="32"/>
        </w:rPr>
        <w:t>等技术，实现内外部系统多源异构数据的自动实时获取，高效的数据清洗和自动标注，行业大数据分布式存储模型和存储策略，多层次、多维度的海量多源异构数据关联分析和深度数据挖掘，面向行业需求的大数据可视分析等功能。在数据服务、业务模式创新、提升企业经营管理效益、助力行业转型升级等方面形成较强的示范效应，具备可复制推广价值。项目完成时，数据存量规模应达到EB级，支持高效的数据日处理能力，以及高速的实时检索和交易响应，系统可用性不低于99.99%，在智慧民生、智慧金融、智慧政务等方面，开展不少于2项应用示范，打造数据采集和清洗、多源异构数据存储、多层次多维度分析挖掘、用户行为画像模型构建等为一体的大数据应用场景，产生发明专利不少于20项，形成大数据创新链专利群。在智慧民生、智慧金融、智慧政务等方面完成应用示范项目。</w:t>
      </w:r>
    </w:p>
    <w:p>
      <w:pPr>
        <w:pStyle w:val="11"/>
        <w:spacing w:line="560" w:lineRule="exact"/>
        <w:ind w:firstLine="643" w:firstLineChars="200"/>
        <w:rPr>
          <w:rFonts w:ascii="Times New Roman" w:hAnsi="Times New Roman"/>
          <w:b/>
          <w:szCs w:val="32"/>
        </w:rPr>
      </w:pPr>
      <w:r>
        <w:rPr>
          <w:rFonts w:hint="eastAsia" w:ascii="Times New Roman" w:hAnsi="Times New Roman"/>
          <w:b/>
          <w:szCs w:val="32"/>
        </w:rPr>
        <w:t>4</w:t>
      </w:r>
      <w:r>
        <w:rPr>
          <w:rFonts w:ascii="Times New Roman" w:hAnsi="Times New Roman"/>
          <w:b/>
          <w:szCs w:val="32"/>
        </w:rPr>
        <w:t>.工业互联网应用示范</w:t>
      </w:r>
    </w:p>
    <w:p>
      <w:pPr>
        <w:pStyle w:val="11"/>
        <w:spacing w:line="560" w:lineRule="exact"/>
        <w:ind w:firstLine="640" w:firstLineChars="200"/>
        <w:rPr>
          <w:rFonts w:ascii="Times New Roman" w:hAnsi="Times New Roman"/>
          <w:kern w:val="2"/>
          <w:szCs w:val="32"/>
        </w:rPr>
      </w:pPr>
      <w:r>
        <w:rPr>
          <w:rFonts w:hint="eastAsia" w:ascii="Times New Roman" w:hAnsi="Times New Roman"/>
          <w:kern w:val="2"/>
          <w:szCs w:val="32"/>
        </w:rPr>
        <w:t>面向高端装备、航空航天、汽车与新能源汽车、现代石化与冶金等重点行业，基于数字孪生、信息物理系统（CPS）、边缘计算、OT+IT网络、TSN（时标网状图）、标识解析技术、测试床、工业PON等工业互联网关键技术，打造跨行业跨领域工业互联网平台和工业APP，平台应具备5G无线通信协议和互联网协议第六版（IPv6）支持能力，探索形成智能化生产、网络化协同、个性化定制和服务化延伸等工业生产应用新模式。项目完成时，在离散制造行业、流程制造行业分别完成至少1项应用示范，工业互联网平台用户数量总计不少于1500家，工业APP数量不少于300个，产生发明专利20项以上，其他知识产权40项以上。完成2项应用示范项目</w:t>
      </w:r>
      <w:r>
        <w:rPr>
          <w:rFonts w:ascii="Times New Roman" w:hAnsi="Times New Roman"/>
          <w:kern w:val="2"/>
          <w:szCs w:val="32"/>
        </w:rPr>
        <w:t>。</w:t>
      </w:r>
    </w:p>
    <w:p>
      <w:pPr>
        <w:pStyle w:val="11"/>
        <w:spacing w:line="560" w:lineRule="exact"/>
        <w:ind w:firstLine="643" w:firstLineChars="200"/>
        <w:rPr>
          <w:rFonts w:ascii="Times New Roman" w:hAnsi="Times New Roman"/>
          <w:b/>
          <w:szCs w:val="32"/>
        </w:rPr>
      </w:pPr>
      <w:r>
        <w:rPr>
          <w:rFonts w:hint="eastAsia" w:ascii="Times New Roman" w:hAnsi="Times New Roman"/>
          <w:b/>
          <w:szCs w:val="32"/>
        </w:rPr>
        <w:t>5</w:t>
      </w:r>
      <w:r>
        <w:rPr>
          <w:rFonts w:ascii="Times New Roman" w:hAnsi="Times New Roman"/>
          <w:b/>
          <w:szCs w:val="32"/>
        </w:rPr>
        <w:t>.工业机器人应用示范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围绕智能制造领域中大型零部件加工、打磨与装配等作业对各类高性能工业机器人的迫切需求，重点攻克机器人本体设计与制造、人机融合智能控制、工艺实现与优化、模块化系统集成等关键技术，推进机器人制造企业与用户合作，实现规模化示范应用。优先支持我市自主研发的减速器、控制器、伺服系统等核心零部件及核心软件集成应用，加快我市机器人推广应用和产业化。项目完成时，申报专利20项以上，其中发明专利不少于5项，突破工业机器人核心零部件、智能工艺软件等卡脖子技术，实现自主技术引领行业发展，助力产业升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D0"/>
    <w:rsid w:val="00044476"/>
    <w:rsid w:val="002706D6"/>
    <w:rsid w:val="00375EC6"/>
    <w:rsid w:val="00503587"/>
    <w:rsid w:val="007E1D87"/>
    <w:rsid w:val="00AA685E"/>
    <w:rsid w:val="00B375D0"/>
    <w:rsid w:val="00BB79D1"/>
    <w:rsid w:val="00BE5E83"/>
    <w:rsid w:val="00C40F54"/>
    <w:rsid w:val="00C6328B"/>
    <w:rsid w:val="00D609AF"/>
    <w:rsid w:val="00D7697D"/>
    <w:rsid w:val="00E8110B"/>
    <w:rsid w:val="00F533B7"/>
    <w:rsid w:val="00FC2F9D"/>
    <w:rsid w:val="5B8A69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ind w:firstLine="560"/>
    </w:pPr>
    <w:rPr>
      <w:rFonts w:ascii="Times New Roman" w:hAnsi="Times New Roman" w:eastAsia="仿宋_GB2312" w:cs="Times New Roman"/>
      <w:sz w:val="28"/>
      <w:szCs w:val="20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customStyle="1" w:styleId="11">
    <w:name w:val="样式1"/>
    <w:basedOn w:val="1"/>
    <w:link w:val="12"/>
    <w:uiPriority w:val="99"/>
    <w:pPr>
      <w:ind w:firstLine="629"/>
    </w:pPr>
    <w:rPr>
      <w:rFonts w:ascii="仿宋_GB2312" w:eastAsia="仿宋_GB2312" w:cs="Times New Roman"/>
      <w:kern w:val="0"/>
      <w:sz w:val="32"/>
      <w:szCs w:val="20"/>
    </w:rPr>
  </w:style>
  <w:style w:type="character" w:customStyle="1" w:styleId="12">
    <w:name w:val="样式1 Char"/>
    <w:link w:val="11"/>
    <w:uiPriority w:val="99"/>
    <w:rPr>
      <w:rFonts w:ascii="仿宋_GB2312" w:hAnsi="Calibri" w:eastAsia="仿宋_GB2312" w:cs="Times New Roman"/>
      <w:kern w:val="0"/>
      <w:sz w:val="32"/>
      <w:szCs w:val="20"/>
    </w:rPr>
  </w:style>
  <w:style w:type="character" w:customStyle="1" w:styleId="13">
    <w:name w:val="正文文本缩进 Char"/>
    <w:basedOn w:val="7"/>
    <w:link w:val="2"/>
    <w:uiPriority w:val="0"/>
    <w:rPr>
      <w:rFonts w:ascii="Times New Roman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372</Words>
  <Characters>2125</Characters>
  <Lines>17</Lines>
  <Paragraphs>4</Paragraphs>
  <TotalTime>1</TotalTime>
  <ScaleCrop>false</ScaleCrop>
  <LinksUpToDate>false</LinksUpToDate>
  <CharactersWithSpaces>2493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2019-04-03T01:19:00Z</dcterms:created>
  <dc:creator>SandT</dc:creator>
  <cp:lastModifiedBy>豚豚</cp:lastModifiedBy>
  <cp:lastPrinted>2019-03-28T01:48:00Z</cp:lastPrinted>
  <dcterms:modified xsi:type="dcterms:W3CDTF">2019-04-04T07:52:01Z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