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D" w:rsidRPr="00377CCD" w:rsidRDefault="00377CCD" w:rsidP="00377CCD">
      <w:pPr>
        <w:snapToGrid w:val="0"/>
        <w:spacing w:line="360" w:lineRule="auto"/>
        <w:jc w:val="both"/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</w:pPr>
      <w:r w:rsidRPr="00377CCD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附件1</w:t>
      </w:r>
    </w:p>
    <w:p w:rsidR="002636CD" w:rsidRPr="00377CCD" w:rsidRDefault="008053A9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Helvetica Neue"/>
          <w:b/>
          <w:bCs/>
          <w:color w:val="000000"/>
          <w:sz w:val="28"/>
          <w:szCs w:val="28"/>
        </w:rPr>
      </w:pPr>
      <w:r w:rsidRPr="00377CCD">
        <w:rPr>
          <w:rFonts w:ascii="黑体" w:eastAsia="黑体" w:hAnsi="黑体" w:cs="Helvetica Neue"/>
          <w:b/>
          <w:bCs/>
          <w:color w:val="000000"/>
          <w:sz w:val="28"/>
          <w:szCs w:val="28"/>
        </w:rPr>
        <w:t>2020</w:t>
      </w:r>
      <w:r w:rsidRPr="00377CCD">
        <w:rPr>
          <w:rFonts w:ascii="黑体" w:eastAsia="黑体" w:hAnsi="黑体" w:cs="Helvetica Neue" w:hint="eastAsia"/>
          <w:b/>
          <w:bCs/>
          <w:color w:val="000000"/>
          <w:sz w:val="28"/>
          <w:szCs w:val="28"/>
        </w:rPr>
        <w:t>年</w:t>
      </w:r>
      <w:r w:rsidR="002636CD" w:rsidRPr="00377CCD">
        <w:rPr>
          <w:rFonts w:ascii="黑体" w:eastAsia="黑体" w:hAnsi="黑体" w:cs="Helvetica Neue"/>
          <w:b/>
          <w:bCs/>
          <w:color w:val="000000"/>
          <w:sz w:val="28"/>
          <w:szCs w:val="28"/>
        </w:rPr>
        <w:t>“全球南开”本科教学境外提升计划</w:t>
      </w:r>
      <w:r w:rsidRPr="00377CCD">
        <w:rPr>
          <w:rFonts w:ascii="黑体" w:eastAsia="黑体" w:hAnsi="黑体" w:cs="Helvetica Neue" w:hint="eastAsia"/>
          <w:b/>
          <w:bCs/>
          <w:color w:val="000000"/>
          <w:sz w:val="28"/>
          <w:szCs w:val="28"/>
        </w:rPr>
        <w:t>实施方案</w:t>
      </w:r>
    </w:p>
    <w:p w:rsidR="008053A9" w:rsidRPr="008053A9" w:rsidRDefault="008053A9" w:rsidP="00216056">
      <w:pPr>
        <w:snapToGrid w:val="0"/>
        <w:spacing w:line="360" w:lineRule="auto"/>
        <w:ind w:firstLine="55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为加快推进我校本科教育教学国际化进程，加强交流与合作，提升本科教育教学质量，充分发挥国际合作在人才培养中的重要作用，教务处将继续组织各教学单位申报</w:t>
      </w:r>
      <w:r w:rsidRPr="008053A9"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20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20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年“全球南开”本科教学境外提升计划，具体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实施方案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如下：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1</w:t>
      </w:r>
      <w:r w:rsidRPr="008053A9">
        <w:rPr>
          <w:rFonts w:ascii="仿宋" w:eastAsia="仿宋" w:hAnsi="仿宋" w:cs="Tahoma" w:hint="eastAsia"/>
          <w:b/>
          <w:bCs/>
          <w:color w:val="333333"/>
          <w:sz w:val="29"/>
          <w:szCs w:val="29"/>
          <w:bdr w:val="none" w:sz="0" w:space="0" w:color="auto" w:frame="1"/>
        </w:rPr>
        <w:t>．</w:t>
      </w: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项目建设内容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（1）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师生同行（出境时间不超过10天）：支持各教学单位组织教师、本科生赴境外知名大学或教学机构进行本科教学短期交流、调研，参加国际竞赛等。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2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本科生境外交流（出境时间不低于90天，不超过180天）：支持各学院组织学生到境外知名大学或科研机构进行完整课程学习、系统科研训练。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3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国际会议（出境时间不超过10天）：支持一线教师、管理人员参与境外高水平本科教学会议，本科生参加国际学术会议（需承担做报告等明确会议任务）。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2. 项目要求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（1）申报经费：以学院（教学部）为单位进行申报，每个单位可申请经费不超过8万元。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（2）资助人员：具有我校学籍的全日制在读本科生；在本科教学第一线工作的我校在职教师或管理人员。</w:t>
      </w:r>
    </w:p>
    <w:p w:rsidR="008053A9" w:rsidRDefault="002636CD" w:rsidP="00216056">
      <w:pPr>
        <w:snapToGrid w:val="0"/>
        <w:spacing w:line="360" w:lineRule="auto"/>
        <w:jc w:val="both"/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（3）经费管理：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采用“</w:t>
      </w:r>
      <w:r w:rsidR="008053A9">
        <w:rPr>
          <w:rStyle w:val="a3"/>
          <w:rFonts w:ascii="仿宋" w:eastAsia="仿宋" w:hAnsi="仿宋" w:hint="eastAsia"/>
          <w:color w:val="000000"/>
          <w:sz w:val="29"/>
          <w:szCs w:val="29"/>
        </w:rPr>
        <w:t>先派出、后报销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”的管理方式，立项后经费暂不拨付，各教学单位可根据各自的建设目标，先行安排师生赴境外开展短期交流学习；待人员回国后，由所在单位对申请人的报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lastRenderedPageBreak/>
        <w:t>销材料进行严格审核，单位负责人签字并加盖单位公章；教务处对项目报销材料进行复核，通过审查、获准结题后方可报销。</w:t>
      </w:r>
    </w:p>
    <w:p w:rsidR="008053A9" w:rsidRDefault="008053A9" w:rsidP="008053A9">
      <w:pPr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3</w:t>
      </w:r>
      <w:r>
        <w:rPr>
          <w:rStyle w:val="a3"/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.</w:t>
      </w:r>
      <w:r w:rsidR="00D962EE">
        <w:rPr>
          <w:rStyle w:val="a3"/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3"/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项目资助内容及标准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602"/>
        <w:gridCol w:w="3202"/>
        <w:gridCol w:w="1887"/>
      </w:tblGrid>
      <w:tr w:rsidR="008053A9" w:rsidTr="008053A9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交流</w:t>
            </w:r>
          </w:p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人员</w:t>
            </w:r>
          </w:p>
        </w:tc>
        <w:tc>
          <w:tcPr>
            <w:tcW w:w="16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项目内容</w:t>
            </w:r>
          </w:p>
        </w:tc>
        <w:tc>
          <w:tcPr>
            <w:tcW w:w="3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资助范围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不资助</w:t>
            </w:r>
          </w:p>
        </w:tc>
      </w:tr>
      <w:tr w:rsidR="008053A9" w:rsidTr="008053A9">
        <w:trPr>
          <w:trHeight w:val="945"/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学生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境外交流学习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一次往返国际旅费等交通费、一次签证费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护照办理费、项目费（学费）、生活补贴以及中介公司代理费不予报销。</w:t>
            </w:r>
          </w:p>
        </w:tc>
      </w:tr>
      <w:tr w:rsidR="008053A9" w:rsidTr="008053A9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国际学术会议和竞赛活动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一次往返国际旅费等交通费、一次签证费、会议费、参赛费、注册费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8053A9" w:rsidTr="008053A9">
        <w:trPr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教师、管理干部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境外交流学习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一次往返国际旅费、一次签证费、因公护照办理费、住宿费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不提供伙食费、公杂费等生活补贴</w:t>
            </w:r>
          </w:p>
        </w:tc>
      </w:tr>
      <w:tr w:rsidR="008053A9" w:rsidTr="008053A9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国际教学会议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一次往返国际旅费、一次签证费、因公护照办理费、住宿费、会议费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</w:tbl>
    <w:p w:rsidR="008053A9" w:rsidRDefault="008053A9" w:rsidP="00216056">
      <w:pPr>
        <w:snapToGrid w:val="0"/>
        <w:spacing w:line="360" w:lineRule="auto"/>
        <w:ind w:firstLine="55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经费支出内容包括一次往返国际旅费、一次签证费、因公护照办理费、住宿费、会议费、参赛费，不提供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项目费（学费）、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伙食费、公杂费等生活补贴。</w:t>
      </w:r>
    </w:p>
    <w:p w:rsidR="00216056" w:rsidRDefault="008053A9" w:rsidP="00216056">
      <w:pPr>
        <w:snapToGrid w:val="0"/>
        <w:spacing w:line="360" w:lineRule="auto"/>
        <w:ind w:firstLine="55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各类人员参与境外交流活动的基本要求、差旅住宿等各项标准应严格遵守学校财务处、国际学术交流处的相关规定；不予资助的部分，鼓励各单位结合实际情况，给予配套经费支持。原则上，未获得其他相关经费资助者优先。</w:t>
      </w:r>
    </w:p>
    <w:p w:rsidR="00216056" w:rsidRDefault="00216056" w:rsidP="00216056">
      <w:pPr>
        <w:snapToGrid w:val="0"/>
        <w:spacing w:line="360" w:lineRule="auto"/>
        <w:ind w:firstLine="555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</w:p>
    <w:p w:rsidR="00216056" w:rsidRDefault="008053A9" w:rsidP="00216056">
      <w:pPr>
        <w:snapToGrid w:val="0"/>
        <w:spacing w:line="360" w:lineRule="auto"/>
        <w:ind w:firstLine="555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联系人：刘青</w:t>
      </w:r>
    </w:p>
    <w:p w:rsidR="008053A9" w:rsidRDefault="008053A9" w:rsidP="00216056">
      <w:pPr>
        <w:snapToGrid w:val="0"/>
        <w:spacing w:line="360" w:lineRule="auto"/>
        <w:ind w:firstLine="55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电话：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23508492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（八里台校区）、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85358492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（津南校区）</w:t>
      </w:r>
    </w:p>
    <w:p w:rsidR="008053A9" w:rsidRPr="008053A9" w:rsidRDefault="008053A9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</w:p>
    <w:sectPr w:rsidR="008053A9" w:rsidRPr="008053A9" w:rsidSect="006935EE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CD" w:rsidRDefault="00377CCD" w:rsidP="00377CCD">
      <w:r>
        <w:separator/>
      </w:r>
    </w:p>
  </w:endnote>
  <w:endnote w:type="continuationSeparator" w:id="0">
    <w:p w:rsidR="00377CCD" w:rsidRDefault="00377CCD" w:rsidP="0037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367"/>
      <w:docPartObj>
        <w:docPartGallery w:val="Page Numbers (Bottom of Page)"/>
        <w:docPartUnique/>
      </w:docPartObj>
    </w:sdtPr>
    <w:sdtContent>
      <w:p w:rsidR="00377CCD" w:rsidRDefault="00377CCD">
        <w:pPr>
          <w:pStyle w:val="a5"/>
          <w:jc w:val="center"/>
        </w:pPr>
        <w:fldSimple w:instr=" PAGE   \* MERGEFORMAT ">
          <w:r w:rsidRPr="00377CCD">
            <w:rPr>
              <w:noProof/>
              <w:lang w:val="zh-CN"/>
            </w:rPr>
            <w:t>1</w:t>
          </w:r>
        </w:fldSimple>
      </w:p>
    </w:sdtContent>
  </w:sdt>
  <w:p w:rsidR="00377CCD" w:rsidRDefault="00377C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CD" w:rsidRDefault="00377CCD" w:rsidP="00377CCD">
      <w:r>
        <w:separator/>
      </w:r>
    </w:p>
  </w:footnote>
  <w:footnote w:type="continuationSeparator" w:id="0">
    <w:p w:rsidR="00377CCD" w:rsidRDefault="00377CCD" w:rsidP="00377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6CD"/>
    <w:rsid w:val="00216056"/>
    <w:rsid w:val="002636CD"/>
    <w:rsid w:val="00377CCD"/>
    <w:rsid w:val="006935EE"/>
    <w:rsid w:val="008053A9"/>
    <w:rsid w:val="008B4C0C"/>
    <w:rsid w:val="00D8439A"/>
    <w:rsid w:val="00D9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3A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7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7CC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C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CC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2019-11-15T17:43:00Z</dcterms:created>
  <dcterms:modified xsi:type="dcterms:W3CDTF">2019-11-18T12:28:00Z</dcterms:modified>
</cp:coreProperties>
</file>