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080"/>
        </w:tabs>
        <w:autoSpaceDE w:val="0"/>
        <w:autoSpaceDN w:val="0"/>
        <w:spacing w:before="101" w:line="520" w:lineRule="exact"/>
        <w:ind w:right="2047"/>
        <w:jc w:val="left"/>
        <w:outlineLvl w:val="1"/>
        <w:rPr>
          <w:rFonts w:ascii="仿宋_GB2312" w:hAnsi="宋体" w:eastAsia="仿宋_GB2312" w:cs="Noto Sans CJK JP Regular"/>
          <w:b/>
          <w:kern w:val="0"/>
          <w:sz w:val="32"/>
          <w:szCs w:val="32"/>
        </w:rPr>
      </w:pPr>
      <w:bookmarkStart w:id="0" w:name="_GoBack"/>
      <w:bookmarkEnd w:id="0"/>
      <w:r>
        <w:rPr>
          <w:rFonts w:hint="eastAsia" w:ascii="仿宋_GB2312" w:hAnsi="宋体" w:eastAsia="仿宋_GB2312" w:cs="Noto Sans CJK JP Regular"/>
          <w:b/>
          <w:kern w:val="0"/>
          <w:sz w:val="32"/>
          <w:szCs w:val="32"/>
        </w:rPr>
        <w:t>附件1</w:t>
      </w:r>
    </w:p>
    <w:p>
      <w:pPr>
        <w:autoSpaceDE w:val="0"/>
        <w:autoSpaceDN w:val="0"/>
        <w:spacing w:before="101" w:line="520" w:lineRule="exact"/>
        <w:ind w:right="2047"/>
        <w:jc w:val="left"/>
        <w:outlineLvl w:val="1"/>
        <w:rPr>
          <w:rFonts w:ascii="宋体" w:hAnsi="宋体" w:eastAsia="宋体" w:cs="Noto Sans CJK JP Regular"/>
          <w:b/>
          <w:kern w:val="0"/>
          <w:sz w:val="44"/>
          <w:szCs w:val="44"/>
        </w:rPr>
      </w:pPr>
    </w:p>
    <w:p>
      <w:pPr>
        <w:autoSpaceDE w:val="0"/>
        <w:autoSpaceDN w:val="0"/>
        <w:spacing w:before="101" w:line="520" w:lineRule="exact"/>
        <w:ind w:left="1901" w:right="2047"/>
        <w:jc w:val="left"/>
        <w:outlineLvl w:val="1"/>
        <w:rPr>
          <w:rFonts w:ascii="黑体" w:hAnsi="黑体" w:eastAsia="黑体" w:cs="Noto Sans CJK JP Regular"/>
          <w:b/>
          <w:kern w:val="0"/>
          <w:sz w:val="44"/>
          <w:szCs w:val="44"/>
        </w:rPr>
      </w:pPr>
      <w:r>
        <w:rPr>
          <w:rFonts w:ascii="黑体" w:hAnsi="黑体" w:eastAsia="黑体" w:cs="Noto Sans CJK JP Regular"/>
          <w:b/>
          <w:kern w:val="0"/>
          <w:sz w:val="44"/>
          <w:szCs w:val="44"/>
        </w:rPr>
        <w:t>2019年天津市生态环境治理科技重大专项项目申报指南</w:t>
      </w:r>
    </w:p>
    <w:p>
      <w:pPr>
        <w:autoSpaceDE w:val="0"/>
        <w:autoSpaceDN w:val="0"/>
        <w:spacing w:line="520" w:lineRule="exact"/>
        <w:ind w:left="1901" w:right="2047"/>
        <w:jc w:val="center"/>
        <w:rPr>
          <w:rFonts w:ascii="仿宋_GB2312" w:hAnsi="宋体" w:eastAsia="仿宋_GB2312" w:cs="Noto Sans CJK JP Regular"/>
          <w:b/>
          <w:kern w:val="0"/>
          <w:sz w:val="32"/>
          <w:szCs w:val="32"/>
        </w:rPr>
      </w:pPr>
      <w:r>
        <w:rPr>
          <w:rFonts w:hint="eastAsia" w:ascii="仿宋_GB2312" w:hAnsi="宋体" w:eastAsia="仿宋_GB2312" w:cs="Noto Sans CJK JP Regular"/>
          <w:b/>
          <w:kern w:val="0"/>
          <w:sz w:val="32"/>
          <w:szCs w:val="32"/>
        </w:rPr>
        <w:t>（征求意见稿）</w:t>
      </w:r>
    </w:p>
    <w:p>
      <w:pPr>
        <w:autoSpaceDE w:val="0"/>
        <w:autoSpaceDN w:val="0"/>
        <w:spacing w:before="281" w:line="520" w:lineRule="exact"/>
        <w:ind w:firstLine="643" w:firstLineChars="200"/>
        <w:rPr>
          <w:rFonts w:ascii="仿宋_GB2312" w:hAnsi="宋体" w:eastAsia="仿宋_GB2312" w:cs="Noto Sans CJK JP Regular"/>
          <w:b/>
          <w:kern w:val="0"/>
          <w:sz w:val="32"/>
          <w:szCs w:val="32"/>
        </w:rPr>
      </w:pPr>
      <w:r>
        <w:rPr>
          <w:rFonts w:hint="eastAsia" w:ascii="仿宋_GB2312" w:hAnsi="宋体" w:eastAsia="仿宋_GB2312" w:cs="Noto Sans CJK JP Regular"/>
          <w:b/>
          <w:kern w:val="0"/>
          <w:sz w:val="32"/>
          <w:szCs w:val="32"/>
        </w:rPr>
        <w:t>（一）燃煤设施烟气深度治理技术研发与示范</w:t>
      </w:r>
    </w:p>
    <w:p>
      <w:pPr>
        <w:autoSpaceDE w:val="0"/>
        <w:autoSpaceDN w:val="0"/>
        <w:spacing w:before="34" w:line="520" w:lineRule="exact"/>
        <w:ind w:left="109" w:leftChars="52" w:right="100" w:firstLine="638" w:firstLineChars="196"/>
        <w:rPr>
          <w:rFonts w:ascii="仿宋_GB2312" w:hAnsi="宋体" w:eastAsia="仿宋_GB2312" w:cs="Noto Sans CJK JP Regular"/>
          <w:kern w:val="0"/>
          <w:sz w:val="32"/>
          <w:szCs w:val="32"/>
        </w:rPr>
      </w:pPr>
      <w:r>
        <w:rPr>
          <w:rFonts w:hint="eastAsia" w:ascii="仿宋_GB2312" w:hAnsi="宋体" w:eastAsia="仿宋_GB2312" w:cs="Noto Sans CJK JP Regular"/>
          <w:spacing w:val="3"/>
          <w:kern w:val="0"/>
          <w:sz w:val="32"/>
          <w:szCs w:val="32"/>
        </w:rPr>
        <w:t>针对钢铁行业大气污染物深度减排需求，重点研究烧结机低</w:t>
      </w:r>
      <w:r>
        <w:rPr>
          <w:rFonts w:hint="eastAsia" w:ascii="仿宋_GB2312" w:hAnsi="宋体" w:eastAsia="仿宋_GB2312" w:cs="Noto Sans CJK JP Regular"/>
          <w:spacing w:val="-5"/>
          <w:kern w:val="0"/>
          <w:sz w:val="32"/>
          <w:szCs w:val="32"/>
        </w:rPr>
        <w:t>投资、低能耗的烟气超低排放技术与装备，突破烟气脱硝、脱硫、除尘协同治理超低排放关键技术。</w:t>
      </w:r>
    </w:p>
    <w:p>
      <w:pPr>
        <w:autoSpaceDE w:val="0"/>
        <w:autoSpaceDN w:val="0"/>
        <w:spacing w:line="520" w:lineRule="exact"/>
        <w:ind w:left="109" w:leftChars="52" w:right="100" w:firstLine="624" w:firstLineChars="200"/>
        <w:rPr>
          <w:rFonts w:ascii="仿宋_GB2312" w:hAnsi="宋体" w:eastAsia="仿宋_GB2312" w:cs="Noto Sans CJK JP Regular"/>
          <w:kern w:val="0"/>
          <w:sz w:val="32"/>
          <w:szCs w:val="32"/>
        </w:rPr>
      </w:pPr>
      <w:r>
        <w:rPr>
          <w:rFonts w:hint="eastAsia" w:ascii="仿宋_GB2312" w:hAnsi="宋体" w:eastAsia="仿宋_GB2312" w:cs="Noto Sans CJK JP Regular"/>
          <w:spacing w:val="-4"/>
          <w:kern w:val="0"/>
          <w:sz w:val="32"/>
          <w:szCs w:val="32"/>
        </w:rPr>
        <w:t>针对燃煤发电机组污染物减排需求，突破冷凝、换热、降温、</w:t>
      </w:r>
      <w:r>
        <w:rPr>
          <w:rFonts w:hint="eastAsia" w:ascii="仿宋_GB2312" w:hAnsi="宋体" w:eastAsia="仿宋_GB2312" w:cs="Noto Sans CJK JP Regular"/>
          <w:spacing w:val="3"/>
          <w:kern w:val="0"/>
          <w:sz w:val="32"/>
          <w:szCs w:val="32"/>
        </w:rPr>
        <w:t>水分回收、可凝结颗粒物治理等关键技术，研究燃煤发电锅炉烟</w:t>
      </w:r>
      <w:r>
        <w:rPr>
          <w:rFonts w:hint="eastAsia" w:ascii="仿宋_GB2312" w:hAnsi="宋体" w:eastAsia="仿宋_GB2312" w:cs="Noto Sans CJK JP Regular"/>
          <w:spacing w:val="4"/>
          <w:kern w:val="0"/>
          <w:position w:val="1"/>
          <w:sz w:val="32"/>
          <w:szCs w:val="32"/>
        </w:rPr>
        <w:t>气冷凝脱水深度治理技术与装备；研发低浓度</w:t>
      </w:r>
      <w:r>
        <w:rPr>
          <w:rFonts w:hint="eastAsia" w:ascii="仿宋_GB2312" w:hAnsi="宋体" w:eastAsia="仿宋_GB2312" w:cs="Noto Sans CJK JP Regular"/>
          <w:kern w:val="0"/>
          <w:position w:val="1"/>
          <w:sz w:val="32"/>
          <w:szCs w:val="32"/>
        </w:rPr>
        <w:t>SO</w:t>
      </w:r>
      <w:r>
        <w:rPr>
          <w:rFonts w:hint="eastAsia" w:ascii="仿宋_GB2312" w:hAnsi="宋体" w:eastAsia="仿宋_GB2312" w:cs="Noto Sans CJK JP Regular"/>
          <w:kern w:val="0"/>
          <w:sz w:val="32"/>
          <w:szCs w:val="32"/>
          <w:vertAlign w:val="subscript"/>
        </w:rPr>
        <w:t>3</w:t>
      </w:r>
      <w:r>
        <w:rPr>
          <w:rFonts w:hint="eastAsia" w:ascii="仿宋_GB2312" w:hAnsi="宋体" w:eastAsia="仿宋_GB2312" w:cs="Noto Sans CJK JP Regular"/>
          <w:spacing w:val="4"/>
          <w:kern w:val="0"/>
          <w:position w:val="1"/>
          <w:sz w:val="32"/>
          <w:szCs w:val="32"/>
        </w:rPr>
        <w:t>在线监测关键</w:t>
      </w:r>
      <w:r>
        <w:rPr>
          <w:rFonts w:hint="eastAsia" w:ascii="仿宋_GB2312" w:hAnsi="宋体" w:eastAsia="仿宋_GB2312" w:cs="Noto Sans CJK JP Regular"/>
          <w:spacing w:val="3"/>
          <w:kern w:val="0"/>
          <w:sz w:val="32"/>
          <w:szCs w:val="32"/>
        </w:rPr>
        <w:t>技术与设备，并在</w:t>
      </w:r>
      <w:r>
        <w:rPr>
          <w:rFonts w:hint="eastAsia" w:ascii="仿宋_GB2312" w:hAnsi="宋体" w:eastAsia="仿宋_GB2312" w:cs="Noto Sans CJK JP Regular"/>
          <w:kern w:val="0"/>
          <w:sz w:val="32"/>
          <w:szCs w:val="32"/>
        </w:rPr>
        <w:t>300 MW等级以上火电机组开展工程应用示范。</w:t>
      </w:r>
    </w:p>
    <w:p>
      <w:pPr>
        <w:autoSpaceDE w:val="0"/>
        <w:autoSpaceDN w:val="0"/>
        <w:spacing w:line="520" w:lineRule="exact"/>
        <w:ind w:left="109" w:leftChars="52" w:right="100" w:firstLine="643" w:firstLineChars="200"/>
        <w:rPr>
          <w:rFonts w:ascii="仿宋_GB2312" w:hAnsi="宋体" w:eastAsia="仿宋_GB2312" w:cs="Noto Sans CJK JP Regular"/>
          <w:kern w:val="0"/>
          <w:sz w:val="32"/>
          <w:szCs w:val="32"/>
        </w:rPr>
      </w:pPr>
      <w:r>
        <w:rPr>
          <w:rFonts w:hint="eastAsia" w:ascii="仿宋_GB2312" w:hAnsi="宋体" w:eastAsia="仿宋_GB2312" w:cs="Noto Sans CJK JP Regular"/>
          <w:b/>
          <w:kern w:val="0"/>
          <w:sz w:val="32"/>
          <w:szCs w:val="32"/>
        </w:rPr>
        <w:t>（二）化工园区清洁生产及污染物减排工艺研发与示范</w:t>
      </w:r>
    </w:p>
    <w:p>
      <w:pPr>
        <w:autoSpaceDE w:val="0"/>
        <w:autoSpaceDN w:val="0"/>
        <w:spacing w:before="34" w:line="520" w:lineRule="exact"/>
        <w:ind w:left="109" w:leftChars="52" w:right="260" w:firstLine="615" w:firstLineChars="196"/>
        <w:rPr>
          <w:rFonts w:ascii="仿宋_GB2312" w:hAnsi="宋体" w:eastAsia="仿宋_GB2312" w:cs="Noto Sans CJK JP Regular"/>
          <w:kern w:val="0"/>
          <w:sz w:val="32"/>
          <w:szCs w:val="32"/>
        </w:rPr>
      </w:pPr>
      <w:r>
        <w:rPr>
          <w:rFonts w:hint="eastAsia" w:ascii="仿宋_GB2312" w:hAnsi="宋体" w:eastAsia="仿宋_GB2312" w:cs="Noto Sans CJK JP Regular"/>
          <w:spacing w:val="-3"/>
          <w:kern w:val="0"/>
          <w:sz w:val="32"/>
          <w:szCs w:val="32"/>
        </w:rPr>
        <w:t>针对化工园区高盐废水、高</w:t>
      </w:r>
      <w:r>
        <w:rPr>
          <w:rFonts w:hint="eastAsia" w:ascii="仿宋_GB2312" w:hAnsi="宋体" w:eastAsia="仿宋_GB2312" w:cs="Noto Sans CJK JP Regular"/>
          <w:kern w:val="0"/>
          <w:sz w:val="32"/>
          <w:szCs w:val="32"/>
        </w:rPr>
        <w:t>COD以及有机工艺废气等清洁生</w:t>
      </w:r>
      <w:r>
        <w:rPr>
          <w:rFonts w:hint="eastAsia" w:ascii="仿宋_GB2312" w:hAnsi="宋体" w:eastAsia="仿宋_GB2312" w:cs="Noto Sans CJK JP Regular"/>
          <w:spacing w:val="3"/>
          <w:kern w:val="0"/>
          <w:sz w:val="32"/>
          <w:szCs w:val="32"/>
        </w:rPr>
        <w:t>产和达标排放需求，以硫代酯类抗氧剂生产中间体硫代二丙酸生产为示范，开展抑制丙烯酸聚合物产生清洁生产工艺、染料行业</w:t>
      </w:r>
      <w:r>
        <w:rPr>
          <w:rFonts w:hint="eastAsia" w:ascii="仿宋_GB2312" w:hAnsi="宋体" w:eastAsia="仿宋_GB2312" w:cs="Noto Sans CJK JP Regular"/>
          <w:spacing w:val="-1"/>
          <w:kern w:val="0"/>
          <w:sz w:val="32"/>
          <w:szCs w:val="32"/>
        </w:rPr>
        <w:t>高盐废水治理技术产业化项目，建立膜</w:t>
      </w:r>
      <w:r>
        <w:rPr>
          <w:rFonts w:hint="eastAsia" w:ascii="仿宋_GB2312" w:hAnsi="宋体" w:eastAsia="仿宋_GB2312" w:cs="Noto Sans CJK JP Regular"/>
          <w:kern w:val="0"/>
          <w:sz w:val="32"/>
          <w:szCs w:val="32"/>
        </w:rPr>
        <w:t xml:space="preserve">-MVR </w:t>
      </w:r>
      <w:r>
        <w:rPr>
          <w:rFonts w:hint="eastAsia" w:ascii="仿宋_GB2312" w:hAnsi="宋体" w:eastAsia="仿宋_GB2312" w:cs="Noto Sans CJK JP Regular"/>
          <w:spacing w:val="-8"/>
          <w:kern w:val="0"/>
          <w:sz w:val="32"/>
          <w:szCs w:val="32"/>
        </w:rPr>
        <w:t>革新工艺，解决高盐</w:t>
      </w:r>
      <w:r>
        <w:rPr>
          <w:rFonts w:hint="eastAsia" w:ascii="仿宋_GB2312" w:hAnsi="宋体" w:eastAsia="仿宋_GB2312" w:cs="Noto Sans CJK JP Regular"/>
          <w:spacing w:val="3"/>
          <w:kern w:val="0"/>
          <w:sz w:val="32"/>
          <w:szCs w:val="32"/>
        </w:rPr>
        <w:t>废水瓶颈难题，突破二氯甲烷回收气体渗透膜材料及回收工艺并开展生产性示范。</w:t>
      </w:r>
    </w:p>
    <w:p>
      <w:pPr>
        <w:autoSpaceDE w:val="0"/>
        <w:autoSpaceDN w:val="0"/>
        <w:spacing w:before="34" w:line="520" w:lineRule="exact"/>
        <w:ind w:left="109" w:leftChars="52" w:right="260" w:firstLine="630" w:firstLineChars="196"/>
        <w:rPr>
          <w:rFonts w:ascii="仿宋_GB2312" w:hAnsi="宋体" w:eastAsia="仿宋_GB2312" w:cs="Noto Sans CJK JP Regular"/>
          <w:kern w:val="0"/>
          <w:sz w:val="32"/>
          <w:szCs w:val="32"/>
        </w:rPr>
      </w:pPr>
      <w:r>
        <w:rPr>
          <w:rFonts w:hint="eastAsia" w:ascii="仿宋_GB2312" w:hAnsi="宋体" w:eastAsia="仿宋_GB2312" w:cs="Noto Sans CJK JP Regular"/>
          <w:b/>
          <w:kern w:val="0"/>
          <w:sz w:val="32"/>
          <w:szCs w:val="32"/>
        </w:rPr>
        <w:t>（三）生活垃圾污染控制关键技术装备与示范</w:t>
      </w:r>
    </w:p>
    <w:p>
      <w:pPr>
        <w:autoSpaceDE w:val="0"/>
        <w:autoSpaceDN w:val="0"/>
        <w:spacing w:before="34" w:line="520" w:lineRule="exact"/>
        <w:ind w:left="109" w:leftChars="52" w:right="370" w:firstLine="640" w:firstLineChars="200"/>
        <w:rPr>
          <w:rFonts w:ascii="仿宋_GB2312" w:hAnsi="宋体" w:eastAsia="仿宋_GB2312" w:cs="Noto Sans CJK JP Regular"/>
          <w:kern w:val="0"/>
          <w:sz w:val="32"/>
          <w:szCs w:val="32"/>
        </w:rPr>
      </w:pPr>
      <w:r>
        <w:rPr>
          <w:rFonts w:hint="eastAsia" w:ascii="仿宋_GB2312" w:hAnsi="宋体" w:eastAsia="仿宋_GB2312" w:cs="Noto Sans CJK JP Regular"/>
          <w:kern w:val="0"/>
          <w:sz w:val="32"/>
          <w:szCs w:val="32"/>
        </w:rPr>
        <w:t>针对渗滤液有机物污染控制难题，开发高效高级氧化处理技术，研究适合天津市生活垃圾处理设施渗滤液柔性化处理集成工艺，提出天津市现有和存量垃圾填埋场系统解决方案和实施模式并依托天津市垃圾处理工程开展工程示范。</w:t>
      </w:r>
    </w:p>
    <w:p>
      <w:pPr>
        <w:autoSpaceDE w:val="0"/>
        <w:autoSpaceDN w:val="0"/>
        <w:spacing w:before="34" w:line="520" w:lineRule="exact"/>
        <w:ind w:left="109" w:leftChars="52" w:right="370" w:firstLine="643" w:firstLineChars="200"/>
        <w:rPr>
          <w:rFonts w:ascii="仿宋_GB2312" w:hAnsi="宋体" w:eastAsia="仿宋_GB2312" w:cs="Noto Sans CJK JP Regular"/>
          <w:kern w:val="0"/>
          <w:sz w:val="32"/>
          <w:szCs w:val="32"/>
        </w:rPr>
      </w:pPr>
      <w:r>
        <w:rPr>
          <w:rFonts w:hint="eastAsia" w:ascii="仿宋_GB2312" w:hAnsi="宋体" w:eastAsia="仿宋_GB2312" w:cs="Noto Sans CJK JP Regular"/>
          <w:b/>
          <w:kern w:val="0"/>
          <w:sz w:val="32"/>
          <w:szCs w:val="32"/>
        </w:rPr>
        <w:t>（四）农村人居生态环境综合整治关键技术与示范</w:t>
      </w:r>
    </w:p>
    <w:p>
      <w:pPr>
        <w:autoSpaceDE w:val="0"/>
        <w:autoSpaceDN w:val="0"/>
        <w:spacing w:before="102" w:line="520" w:lineRule="exact"/>
        <w:ind w:right="260" w:firstLine="627" w:firstLineChars="196"/>
        <w:rPr>
          <w:rFonts w:ascii="仿宋_GB2312" w:hAnsi="宋体" w:eastAsia="仿宋_GB2312" w:cs="Noto Sans CJK JP Regular"/>
          <w:kern w:val="0"/>
          <w:sz w:val="32"/>
          <w:szCs w:val="32"/>
        </w:rPr>
      </w:pPr>
      <w:r>
        <w:rPr>
          <w:rFonts w:hint="eastAsia" w:ascii="仿宋_GB2312" w:hAnsi="宋体" w:eastAsia="仿宋_GB2312" w:cs="Noto Sans CJK JP Regular"/>
          <w:kern w:val="0"/>
          <w:sz w:val="32"/>
          <w:szCs w:val="32"/>
        </w:rPr>
        <w:t>面向村镇生活垃圾及农林废弃物资源化、能源化，研发生物方法与热化学方法的协同技术集成与装备开发，构建农村固体废弃物智能收集、绿色处理和回用技术模式和综合示范；</w:t>
      </w:r>
    </w:p>
    <w:p>
      <w:pPr>
        <w:autoSpaceDE w:val="0"/>
        <w:autoSpaceDN w:val="0"/>
        <w:spacing w:line="520" w:lineRule="exact"/>
        <w:ind w:right="260" w:firstLine="640" w:firstLineChars="200"/>
        <w:rPr>
          <w:rFonts w:ascii="仿宋_GB2312" w:hAnsi="宋体" w:eastAsia="仿宋_GB2312" w:cs="Noto Sans CJK JP Regular"/>
          <w:kern w:val="0"/>
          <w:sz w:val="32"/>
          <w:szCs w:val="32"/>
        </w:rPr>
      </w:pPr>
      <w:r>
        <w:rPr>
          <w:rFonts w:hint="eastAsia" w:ascii="仿宋_GB2312" w:hAnsi="宋体" w:eastAsia="仿宋_GB2312" w:cs="Noto Sans CJK JP Regular"/>
          <w:kern w:val="0"/>
          <w:sz w:val="32"/>
          <w:szCs w:val="32"/>
        </w:rPr>
        <w:t>支持利用环境昆虫高效高值资源化处理农村畜禽粪便，餐厨垃圾等关键技术研究与示范；</w:t>
      </w:r>
    </w:p>
    <w:p>
      <w:pPr>
        <w:autoSpaceDE w:val="0"/>
        <w:autoSpaceDN w:val="0"/>
        <w:spacing w:line="520" w:lineRule="exact"/>
        <w:ind w:right="260" w:firstLine="640" w:firstLineChars="200"/>
        <w:rPr>
          <w:rFonts w:ascii="仿宋_GB2312" w:hAnsi="宋体" w:eastAsia="仿宋_GB2312" w:cs="Noto Sans CJK JP Regular"/>
          <w:kern w:val="0"/>
          <w:sz w:val="32"/>
          <w:szCs w:val="32"/>
        </w:rPr>
      </w:pPr>
      <w:r>
        <w:rPr>
          <w:rFonts w:hint="eastAsia" w:ascii="仿宋_GB2312" w:hAnsi="宋体" w:eastAsia="仿宋_GB2312" w:cs="Noto Sans CJK JP Regular"/>
          <w:kern w:val="0"/>
          <w:sz w:val="32"/>
          <w:szCs w:val="32"/>
        </w:rPr>
        <w:t>支持池塘内循环水健康高效生态养殖关键技术研究与示范应用。</w:t>
      </w:r>
    </w:p>
    <w:p>
      <w:pPr>
        <w:autoSpaceDE w:val="0"/>
        <w:autoSpaceDN w:val="0"/>
        <w:spacing w:line="520" w:lineRule="exact"/>
        <w:ind w:right="260" w:firstLine="640" w:firstLineChars="200"/>
        <w:rPr>
          <w:rFonts w:ascii="仿宋_GB2312" w:hAnsi="宋体" w:eastAsia="仿宋_GB2312" w:cs="Noto Sans CJK JP Regular"/>
          <w:kern w:val="0"/>
          <w:sz w:val="32"/>
          <w:szCs w:val="32"/>
        </w:rPr>
      </w:pPr>
    </w:p>
    <w:p>
      <w:pPr>
        <w:autoSpaceDE w:val="0"/>
        <w:autoSpaceDN w:val="0"/>
        <w:spacing w:line="520" w:lineRule="exact"/>
        <w:ind w:right="260" w:firstLine="640" w:firstLineChars="200"/>
        <w:rPr>
          <w:rFonts w:ascii="仿宋_GB2312" w:hAnsi="宋体" w:eastAsia="仿宋_GB2312" w:cs="Noto Sans CJK JP Regular"/>
          <w:kern w:val="0"/>
          <w:sz w:val="32"/>
          <w:szCs w:val="32"/>
        </w:rPr>
      </w:pPr>
    </w:p>
    <w:p>
      <w:pPr>
        <w:autoSpaceDE w:val="0"/>
        <w:autoSpaceDN w:val="0"/>
        <w:spacing w:line="520" w:lineRule="exact"/>
        <w:ind w:right="260" w:firstLine="640" w:firstLineChars="200"/>
        <w:rPr>
          <w:rFonts w:ascii="仿宋_GB2312" w:hAnsi="宋体" w:eastAsia="仿宋_GB2312" w:cs="Noto Sans CJK JP Regular"/>
          <w:kern w:val="0"/>
          <w:sz w:val="32"/>
          <w:szCs w:val="32"/>
        </w:rPr>
      </w:pPr>
    </w:p>
    <w:p>
      <w:pPr>
        <w:autoSpaceDE w:val="0"/>
        <w:autoSpaceDN w:val="0"/>
        <w:spacing w:line="520" w:lineRule="exact"/>
        <w:ind w:right="260" w:firstLine="640" w:firstLineChars="200"/>
        <w:rPr>
          <w:rFonts w:ascii="仿宋_GB2312" w:hAnsi="宋体" w:eastAsia="仿宋_GB2312" w:cs="Noto Sans CJK JP Regular"/>
          <w:kern w:val="0"/>
          <w:sz w:val="32"/>
          <w:szCs w:val="32"/>
        </w:rPr>
        <w:sectPr>
          <w:footerReference r:id="rId3" w:type="default"/>
          <w:pgSz w:w="11910" w:h="16840"/>
          <w:pgMar w:top="1380" w:right="1160" w:bottom="1460" w:left="1300" w:header="720" w:footer="1262" w:gutter="0"/>
          <w:pgNumType w:start="1"/>
          <w:cols w:space="720" w:num="1"/>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Noto Sans CJK JP Regular">
    <w:altName w:val="Arial"/>
    <w:panose1 w:val="00000000000000000000"/>
    <w:charset w:val="00"/>
    <w:family w:val="swiss"/>
    <w:pitch w:val="default"/>
    <w:sig w:usb0="00000000" w:usb1="00000000" w:usb2="00000000" w:usb3="00000000" w:csb0="00000000" w:csb1="00000000"/>
  </w:font>
  <w:font w:name="Trebuchet MS">
    <w:panose1 w:val="020B0603020202020204"/>
    <w:charset w:val="00"/>
    <w:family w:val="swiss"/>
    <w:pitch w:val="default"/>
    <w:sig w:usb0="00000687" w:usb1="00000000" w:usb2="00000000" w:usb3="00000000" w:csb0="2000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jc w:val="left"/>
      <w:rPr>
        <w:sz w:val="20"/>
      </w:rPr>
    </w:pPr>
    <w:r>
      <w:rPr>
        <w:sz w:val="32"/>
      </w:rPr>
      <mc:AlternateContent>
        <mc:Choice Requires="wps">
          <w:drawing>
            <wp:anchor distT="0" distB="0" distL="114300" distR="114300" simplePos="0" relativeHeight="251659264" behindDoc="1" locked="0" layoutInCell="1" allowOverlap="1">
              <wp:simplePos x="0" y="0"/>
              <wp:positionH relativeFrom="page">
                <wp:posOffset>3706495</wp:posOffset>
              </wp:positionH>
              <wp:positionV relativeFrom="page">
                <wp:posOffset>9751060</wp:posOffset>
              </wp:positionV>
              <wp:extent cx="115570" cy="159385"/>
              <wp:effectExtent l="127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5570" cy="159385"/>
                      </a:xfrm>
                      <a:prstGeom prst="rect">
                        <a:avLst/>
                      </a:prstGeom>
                      <a:noFill/>
                      <a:ln>
                        <a:noFill/>
                      </a:ln>
                    </wps:spPr>
                    <wps:txbx>
                      <w:txbxContent>
                        <w:p>
                          <w:pPr>
                            <w:spacing w:before="18"/>
                            <w:ind w:left="40"/>
                            <w:rPr>
                              <w:rFonts w:ascii="Trebuchet MS"/>
                              <w:i/>
                              <w:sz w:val="18"/>
                            </w:rPr>
                          </w:pPr>
                          <w:r>
                            <w:fldChar w:fldCharType="begin"/>
                          </w:r>
                          <w:r>
                            <w:rPr>
                              <w:rFonts w:ascii="Trebuchet MS"/>
                              <w:i/>
                              <w:w w:val="107"/>
                              <w:sz w:val="18"/>
                            </w:rPr>
                            <w:instrText xml:space="preserve"> PAGE </w:instrText>
                          </w:r>
                          <w:r>
                            <w:fldChar w:fldCharType="separate"/>
                          </w:r>
                          <w:r>
                            <w:rPr>
                              <w:rFonts w:ascii="Trebuchet MS"/>
                              <w:i/>
                              <w:w w:val="107"/>
                              <w:sz w:val="18"/>
                            </w:rPr>
                            <w:t>1</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1.85pt;margin-top:767.8pt;height:12.55pt;width:9.1pt;mso-position-horizontal-relative:page;mso-position-vertical-relative:page;z-index:-251657216;mso-width-relative:page;mso-height-relative:page;" filled="f" stroked="f" coordsize="21600,21600" o:gfxdata="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O5Xk2wAAAA0BAAAPAAAAAAAAAAEAIAAAACIAAABkcnMvZG93bnJldi54bWxQSwECFAAU&#10;AAAACACHTuJAtns7Se4BAAC2AwAADgAAAAAAAAABACAAAAAqAQAAZHJzL2Uyb0RvYy54bWxQSwUG&#10;AAAAAAYABgBZAQAAigUAAAAA&#10;">
              <v:fill on="f" focussize="0,0"/>
              <v:stroke on="f"/>
              <v:imagedata o:title=""/>
              <o:lock v:ext="edit" aspectratio="f"/>
              <v:textbox inset="0mm,0mm,0mm,0mm">
                <w:txbxContent>
                  <w:p>
                    <w:pPr>
                      <w:spacing w:before="18"/>
                      <w:ind w:left="40"/>
                      <w:rPr>
                        <w:rFonts w:ascii="Trebuchet MS"/>
                        <w:i/>
                        <w:sz w:val="18"/>
                      </w:rPr>
                    </w:pPr>
                    <w:r>
                      <w:fldChar w:fldCharType="begin"/>
                    </w:r>
                    <w:r>
                      <w:rPr>
                        <w:rFonts w:ascii="Trebuchet MS"/>
                        <w:i/>
                        <w:w w:val="107"/>
                        <w:sz w:val="18"/>
                      </w:rPr>
                      <w:instrText xml:space="preserve"> PAGE </w:instrText>
                    </w:r>
                    <w:r>
                      <w:fldChar w:fldCharType="separate"/>
                    </w:r>
                    <w:r>
                      <w:rPr>
                        <w:rFonts w:ascii="Trebuchet MS"/>
                        <w:i/>
                        <w:w w:val="107"/>
                        <w:sz w:val="18"/>
                      </w:rP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9C7"/>
    <w:rsid w:val="0017367B"/>
    <w:rsid w:val="00DC39C7"/>
    <w:rsid w:val="2DCC1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5"/>
    <w:semiHidden/>
    <w:unhideWhenUsed/>
    <w:uiPriority w:val="99"/>
    <w:pPr>
      <w:spacing w:after="120"/>
    </w:pPr>
  </w:style>
  <w:style w:type="character" w:customStyle="1" w:styleId="5">
    <w:name w:val="正文文本 Char"/>
    <w:basedOn w:val="4"/>
    <w:link w:val="2"/>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Pages>
  <Words>107</Words>
  <Characters>616</Characters>
  <Lines>5</Lines>
  <Paragraphs>1</Paragraphs>
  <TotalTime>0</TotalTime>
  <ScaleCrop>false</ScaleCrop>
  <LinksUpToDate>false</LinksUpToDate>
  <CharactersWithSpaces>722</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2019-04-01T03:45:00Z</dcterms:created>
  <dc:creator>user</dc:creator>
  <cp:lastModifiedBy>豚豚</cp:lastModifiedBy>
  <dcterms:modified xsi:type="dcterms:W3CDTF">2019-04-01T11:50:34Z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